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hanging="990"/>
        <w:contextualSpacing w:val="0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GAMCHIX 2018 ACTIVITY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120"/>
        <w:gridCol w:w="3255"/>
        <w:gridCol w:w="2100"/>
        <w:gridCol w:w="1725"/>
        <w:tblGridChange w:id="0">
          <w:tblGrid>
            <w:gridCol w:w="585"/>
            <w:gridCol w:w="3120"/>
            <w:gridCol w:w="3255"/>
            <w:gridCol w:w="2100"/>
            <w:gridCol w:w="17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FACILITATORS/</w:t>
              <w:br w:type="textWrapping"/>
              <w:t xml:space="preserve">SUB-COMMITEE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Mentorship and Outreach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Conduct Surveys in schools( this can be done in partnership with Moherst &amp; UNESCO we just need to write to them)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 &amp;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Conduct workshops to talk to girls about STEM Fields, Career Opportunities and role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Invite university students and high schools to exhibit her work and as well as female engineer this will serve as an inspiration for many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Unix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 Online Safety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.20000000000005" w:lineRule="auto"/>
              <w:ind w:left="720" w:hanging="360"/>
              <w:contextualSpacing w:val="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activities to be posted on Facebook page.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.20000000000005" w:lineRule="auto"/>
              <w:ind w:left="720" w:hanging="360"/>
              <w:contextualSpacing w:val="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 a media program at the national TV and Radio (and suggested to have at least one member of GamChix to be part of the discussion).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.20000000000005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Promote female Engineers on our facebook and website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 &amp; PAC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in ICT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Partner with “Girls in ICT ambassador Gambia” and organise something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 identify and join a commitee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Subcommitee Member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PAC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Marie Ellen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Amie Njie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